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6938" w14:textId="77777777" w:rsidR="00EA1DD6" w:rsidRDefault="00EA1DD6" w:rsidP="00EA1DD6">
      <w:pPr>
        <w:pStyle w:val="Title"/>
      </w:pPr>
      <w:r>
        <w:t>NZX Debt Market</w:t>
      </w:r>
      <w:r w:rsidR="00EB3F5A">
        <w:t xml:space="preserve"> | </w:t>
      </w:r>
      <w:r w:rsidR="00CF35D8">
        <w:t xml:space="preserve">Wholesale Debt </w:t>
      </w:r>
      <w:r w:rsidR="00EB3F5A">
        <w:t>Instrument Information Sheet</w:t>
      </w:r>
    </w:p>
    <w:p w14:paraId="4CE0CD37" w14:textId="656BFC5B" w:rsidR="00F45963" w:rsidRPr="00F45963" w:rsidRDefault="00F45963" w:rsidP="003646EC">
      <w:pPr>
        <w:jc w:val="right"/>
      </w:pPr>
      <w:r>
        <w:t>Version: May 2026</w:t>
      </w:r>
    </w:p>
    <w:p w14:paraId="34023733" w14:textId="77777777" w:rsidR="000D6FFB" w:rsidRPr="000D6FFB" w:rsidRDefault="000D6FFB" w:rsidP="000D6FFB"/>
    <w:tbl>
      <w:tblPr>
        <w:tblStyle w:val="NZX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D6FFB" w14:paraId="7E8A51F4" w14:textId="77777777" w:rsidTr="00CF3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</w:tcPr>
          <w:p w14:paraId="540C7FA9" w14:textId="77777777" w:rsidR="000D6FFB" w:rsidRDefault="000D6FFB" w:rsidP="00CF3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Issuer Name</w:t>
            </w:r>
            <w:r w:rsidR="00820270">
              <w:rPr>
                <w:sz w:val="20"/>
                <w:szCs w:val="20"/>
              </w:rPr>
              <w:t xml:space="preserve"> and Brief Description of Security to be </w:t>
            </w:r>
            <w:r w:rsidR="00CF35D8">
              <w:rPr>
                <w:sz w:val="20"/>
                <w:szCs w:val="20"/>
              </w:rPr>
              <w:t>Listed</w:t>
            </w:r>
          </w:p>
        </w:tc>
      </w:tr>
      <w:tr w:rsidR="000D6FFB" w14:paraId="3EC15B8B" w14:textId="77777777" w:rsidTr="00CF35D8">
        <w:tc>
          <w:tcPr>
            <w:tcW w:w="9344" w:type="dxa"/>
          </w:tcPr>
          <w:p w14:paraId="1B76FC7F" w14:textId="77777777" w:rsidR="000D6FFB" w:rsidRDefault="000D6FFB" w:rsidP="007F506E">
            <w:pPr>
              <w:rPr>
                <w:sz w:val="20"/>
                <w:szCs w:val="20"/>
              </w:rPr>
            </w:pPr>
          </w:p>
        </w:tc>
      </w:tr>
    </w:tbl>
    <w:p w14:paraId="1AE1C14F" w14:textId="77777777" w:rsidR="00EA1DD6" w:rsidRPr="00503196" w:rsidRDefault="00EA1DD6" w:rsidP="00EA1DD6">
      <w:pPr>
        <w:rPr>
          <w:b/>
        </w:rPr>
      </w:pPr>
    </w:p>
    <w:p w14:paraId="61C1B70F" w14:textId="77777777" w:rsidR="002E361F" w:rsidRDefault="00503196" w:rsidP="00784CCB">
      <w:pPr>
        <w:rPr>
          <w:sz w:val="20"/>
          <w:szCs w:val="20"/>
        </w:rPr>
      </w:pPr>
      <w:r w:rsidRPr="002E361F">
        <w:rPr>
          <w:sz w:val="20"/>
          <w:szCs w:val="20"/>
        </w:rPr>
        <w:t>The information set out in the table below must be provided to NZX</w:t>
      </w:r>
      <w:r w:rsidR="002E361F" w:rsidRPr="002E361F">
        <w:rPr>
          <w:sz w:val="20"/>
          <w:szCs w:val="20"/>
        </w:rPr>
        <w:t xml:space="preserve"> as soon as practicable.  Where the information is not known please include the future date that this information will be provided to NZX. </w:t>
      </w:r>
      <w:r w:rsidR="002E361F">
        <w:rPr>
          <w:b/>
          <w:sz w:val="20"/>
          <w:szCs w:val="20"/>
        </w:rPr>
        <w:t xml:space="preserve"> NZX requires all information requested on this form</w:t>
      </w:r>
      <w:r w:rsidRPr="00503196">
        <w:rPr>
          <w:b/>
          <w:sz w:val="20"/>
          <w:szCs w:val="20"/>
        </w:rPr>
        <w:t xml:space="preserve">, no less than five business days prior to the date of </w:t>
      </w:r>
      <w:r w:rsidR="00CF35D8">
        <w:rPr>
          <w:b/>
          <w:sz w:val="20"/>
          <w:szCs w:val="20"/>
        </w:rPr>
        <w:t>listing</w:t>
      </w:r>
      <w:r w:rsidRPr="00503196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F989F9A" w14:textId="77777777" w:rsidR="002E361F" w:rsidRDefault="002E361F" w:rsidP="00784CCB">
      <w:pPr>
        <w:rPr>
          <w:sz w:val="20"/>
          <w:szCs w:val="20"/>
        </w:rPr>
      </w:pPr>
    </w:p>
    <w:p w14:paraId="7D2FB906" w14:textId="77777777" w:rsidR="00E274B1" w:rsidRDefault="00E274B1" w:rsidP="00784CCB">
      <w:pPr>
        <w:rPr>
          <w:sz w:val="20"/>
          <w:szCs w:val="20"/>
        </w:rPr>
      </w:pPr>
      <w:r>
        <w:rPr>
          <w:sz w:val="20"/>
          <w:szCs w:val="20"/>
        </w:rPr>
        <w:t xml:space="preserve">This information is required in order for NZX’s Operations team to set up the security in the appropriate systems to ensure it is available for trading on </w:t>
      </w:r>
      <w:r w:rsidR="003716FF">
        <w:rPr>
          <w:sz w:val="20"/>
          <w:szCs w:val="20"/>
        </w:rPr>
        <w:t>Listing</w:t>
      </w:r>
      <w:r>
        <w:rPr>
          <w:sz w:val="20"/>
          <w:szCs w:val="20"/>
        </w:rPr>
        <w:t xml:space="preserve"> </w:t>
      </w:r>
      <w:r w:rsidR="003716FF">
        <w:rPr>
          <w:sz w:val="20"/>
          <w:szCs w:val="20"/>
        </w:rPr>
        <w:t>D</w:t>
      </w:r>
      <w:r>
        <w:rPr>
          <w:sz w:val="20"/>
          <w:szCs w:val="20"/>
        </w:rPr>
        <w:t>ate.</w:t>
      </w:r>
    </w:p>
    <w:p w14:paraId="2ADA1278" w14:textId="77777777" w:rsidR="00503196" w:rsidRDefault="00503196" w:rsidP="00784CCB">
      <w:pPr>
        <w:rPr>
          <w:sz w:val="20"/>
          <w:szCs w:val="20"/>
        </w:rPr>
      </w:pPr>
    </w:p>
    <w:tbl>
      <w:tblPr>
        <w:tblStyle w:val="NZX"/>
        <w:tblW w:w="0" w:type="auto"/>
        <w:tblLook w:val="04A0" w:firstRow="1" w:lastRow="0" w:firstColumn="1" w:lastColumn="0" w:noHBand="0" w:noVBand="1"/>
      </w:tblPr>
      <w:tblGrid>
        <w:gridCol w:w="4685"/>
        <w:gridCol w:w="4659"/>
      </w:tblGrid>
      <w:tr w:rsidR="00503196" w14:paraId="33210C63" w14:textId="77777777" w:rsidTr="00CF3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5" w:type="dxa"/>
          </w:tcPr>
          <w:p w14:paraId="0B033FAB" w14:textId="77777777" w:rsidR="00503196" w:rsidRDefault="00503196" w:rsidP="00784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</w:t>
            </w:r>
          </w:p>
        </w:tc>
        <w:tc>
          <w:tcPr>
            <w:tcW w:w="4659" w:type="dxa"/>
          </w:tcPr>
          <w:p w14:paraId="16AE2DD5" w14:textId="77777777" w:rsidR="00503196" w:rsidRDefault="00503196" w:rsidP="00784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</w:t>
            </w:r>
          </w:p>
        </w:tc>
      </w:tr>
      <w:tr w:rsidR="006D7E73" w14:paraId="2CA40270" w14:textId="77777777" w:rsidTr="00CF35D8">
        <w:tc>
          <w:tcPr>
            <w:tcW w:w="4685" w:type="dxa"/>
          </w:tcPr>
          <w:p w14:paraId="15E4FACC" w14:textId="77777777" w:rsidR="006D7E73" w:rsidRPr="00503196" w:rsidRDefault="006D7E73" w:rsidP="006D7E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 or Date Interest Rate is to be set</w:t>
            </w:r>
          </w:p>
        </w:tc>
        <w:tc>
          <w:tcPr>
            <w:tcW w:w="4659" w:type="dxa"/>
          </w:tcPr>
          <w:p w14:paraId="0C762CDE" w14:textId="0C99A75F" w:rsidR="006D7E73" w:rsidRPr="003646EC" w:rsidRDefault="006D7E73" w:rsidP="006D7E73">
            <w:pPr>
              <w:rPr>
                <w:color w:val="0061A2" w:themeColor="text2"/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6D7E73">
              <w:rPr>
                <w:i/>
                <w:iCs/>
                <w:color w:val="0061A2" w:themeColor="text2"/>
                <w:sz w:val="20"/>
                <w:szCs w:val="20"/>
              </w:rPr>
              <w:t>day,</w:t>
            </w:r>
            <w:r w:rsidRPr="006D7E73">
              <w:rPr>
                <w:color w:val="0061A2" w:themeColor="text2"/>
                <w:sz w:val="20"/>
                <w:szCs w:val="20"/>
              </w:rPr>
              <w:t> </w:t>
            </w:r>
            <w:r w:rsidRPr="006D7E73">
              <w:rPr>
                <w:i/>
                <w:iCs/>
                <w:color w:val="0061A2" w:themeColor="text2"/>
                <w:sz w:val="20"/>
                <w:szCs w:val="20"/>
              </w:rPr>
              <w:t>date with full format i.e. Thursday, 7 May 2026</w:t>
            </w:r>
            <w:r>
              <w:rPr>
                <w:sz w:val="20"/>
                <w:szCs w:val="20"/>
              </w:rPr>
              <w:t>]</w:t>
            </w:r>
          </w:p>
        </w:tc>
      </w:tr>
      <w:tr w:rsidR="00F45963" w14:paraId="0F682C61" w14:textId="77777777" w:rsidTr="00CF35D8">
        <w:tc>
          <w:tcPr>
            <w:tcW w:w="4685" w:type="dxa"/>
          </w:tcPr>
          <w:p w14:paraId="2AFE4899" w14:textId="77777777" w:rsidR="00F45963" w:rsidRDefault="00F45963" w:rsidP="00F459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Rate reset date(s)</w:t>
            </w:r>
          </w:p>
          <w:p w14:paraId="7833DB1D" w14:textId="77777777" w:rsidR="00F45963" w:rsidRPr="00503196" w:rsidRDefault="00F45963" w:rsidP="00F45963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Please identify if this is not applicable</w:t>
            </w:r>
          </w:p>
        </w:tc>
        <w:tc>
          <w:tcPr>
            <w:tcW w:w="4659" w:type="dxa"/>
          </w:tcPr>
          <w:p w14:paraId="7869D6F3" w14:textId="77777777" w:rsidR="00F45963" w:rsidRPr="003646EC" w:rsidRDefault="00F45963" w:rsidP="00F45963">
            <w:pPr>
              <w:rPr>
                <w:color w:val="0061A2" w:themeColor="text2"/>
                <w:sz w:val="20"/>
                <w:szCs w:val="20"/>
              </w:rPr>
            </w:pPr>
          </w:p>
        </w:tc>
      </w:tr>
      <w:tr w:rsidR="00F45963" w14:paraId="4D7EE781" w14:textId="77777777" w:rsidTr="00CF35D8">
        <w:tc>
          <w:tcPr>
            <w:tcW w:w="4685" w:type="dxa"/>
          </w:tcPr>
          <w:p w14:paraId="2A7B41B5" w14:textId="77777777" w:rsidR="00F45963" w:rsidRDefault="00F45963" w:rsidP="00F459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Maturity Date</w:t>
            </w:r>
          </w:p>
          <w:p w14:paraId="559486A2" w14:textId="77777777" w:rsidR="00F45963" w:rsidRDefault="00F45963" w:rsidP="00F45963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Please identify if this is not applicable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, for Perpetual securities)</w:t>
            </w:r>
          </w:p>
        </w:tc>
        <w:tc>
          <w:tcPr>
            <w:tcW w:w="4659" w:type="dxa"/>
          </w:tcPr>
          <w:p w14:paraId="3DFDD270" w14:textId="77777777" w:rsidR="00F45963" w:rsidRPr="003646EC" w:rsidRDefault="00F45963" w:rsidP="00F45963">
            <w:pPr>
              <w:rPr>
                <w:color w:val="0061A2" w:themeColor="text2"/>
                <w:sz w:val="20"/>
                <w:szCs w:val="20"/>
              </w:rPr>
            </w:pPr>
          </w:p>
        </w:tc>
      </w:tr>
      <w:tr w:rsidR="006D7E73" w14:paraId="6CBD54A6" w14:textId="77777777" w:rsidTr="00CF35D8">
        <w:tc>
          <w:tcPr>
            <w:tcW w:w="4685" w:type="dxa"/>
          </w:tcPr>
          <w:p w14:paraId="7FB17477" w14:textId="77777777" w:rsidR="006D7E73" w:rsidRDefault="006D7E73" w:rsidP="006D7E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Issue/Allotment Date</w:t>
            </w:r>
          </w:p>
          <w:p w14:paraId="18843162" w14:textId="09DA5D47" w:rsidR="006D7E73" w:rsidRPr="003646EC" w:rsidRDefault="006D7E73" w:rsidP="006D7E73">
            <w:pPr>
              <w:rPr>
                <w:bCs/>
                <w:sz w:val="20"/>
                <w:szCs w:val="20"/>
              </w:rPr>
            </w:pPr>
            <w:r w:rsidRPr="003646EC">
              <w:rPr>
                <w:bCs/>
                <w:sz w:val="16"/>
                <w:szCs w:val="16"/>
              </w:rPr>
              <w:t>Date cannot be a public holiday or weekend</w:t>
            </w:r>
          </w:p>
        </w:tc>
        <w:tc>
          <w:tcPr>
            <w:tcW w:w="4659" w:type="dxa"/>
          </w:tcPr>
          <w:p w14:paraId="22673733" w14:textId="4D92E87D" w:rsidR="006D7E73" w:rsidRPr="003646EC" w:rsidRDefault="006D7E73" w:rsidP="006D7E73">
            <w:pPr>
              <w:rPr>
                <w:color w:val="0061A2" w:themeColor="text2"/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6D7E73">
              <w:rPr>
                <w:i/>
                <w:iCs/>
                <w:color w:val="0061A2" w:themeColor="text2"/>
                <w:sz w:val="20"/>
                <w:szCs w:val="20"/>
              </w:rPr>
              <w:t>day,</w:t>
            </w:r>
            <w:r w:rsidRPr="006D7E73">
              <w:rPr>
                <w:color w:val="0061A2" w:themeColor="text2"/>
                <w:sz w:val="20"/>
                <w:szCs w:val="20"/>
              </w:rPr>
              <w:t> </w:t>
            </w:r>
            <w:r w:rsidRPr="006D7E73">
              <w:rPr>
                <w:i/>
                <w:iCs/>
                <w:color w:val="0061A2" w:themeColor="text2"/>
                <w:sz w:val="20"/>
                <w:szCs w:val="20"/>
              </w:rPr>
              <w:t>date with full format i.e. Thursday, 7 May 2026</w:t>
            </w:r>
            <w:r>
              <w:rPr>
                <w:sz w:val="20"/>
                <w:szCs w:val="20"/>
              </w:rPr>
              <w:t>]</w:t>
            </w:r>
          </w:p>
        </w:tc>
      </w:tr>
      <w:tr w:rsidR="00F45963" w14:paraId="1DBCFBA2" w14:textId="77777777" w:rsidTr="00CF35D8">
        <w:tc>
          <w:tcPr>
            <w:tcW w:w="4685" w:type="dxa"/>
          </w:tcPr>
          <w:p w14:paraId="36655C31" w14:textId="77777777" w:rsidR="00F45963" w:rsidRDefault="00F45963" w:rsidP="00F459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 Size</w:t>
            </w:r>
          </w:p>
          <w:p w14:paraId="698E8F40" w14:textId="77777777" w:rsidR="00F45963" w:rsidRPr="00503196" w:rsidRDefault="00F45963" w:rsidP="00F45963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How many securities are to be quoted on Listing Date</w:t>
            </w:r>
          </w:p>
        </w:tc>
        <w:tc>
          <w:tcPr>
            <w:tcW w:w="4659" w:type="dxa"/>
          </w:tcPr>
          <w:p w14:paraId="1D1A8715" w14:textId="77777777" w:rsidR="00F45963" w:rsidRDefault="00F45963" w:rsidP="00F45963">
            <w:pPr>
              <w:rPr>
                <w:sz w:val="20"/>
                <w:szCs w:val="20"/>
              </w:rPr>
            </w:pPr>
          </w:p>
        </w:tc>
      </w:tr>
      <w:tr w:rsidR="00F45963" w14:paraId="4EEE27DF" w14:textId="77777777" w:rsidTr="00CF35D8">
        <w:tc>
          <w:tcPr>
            <w:tcW w:w="4685" w:type="dxa"/>
          </w:tcPr>
          <w:p w14:paraId="760E48DE" w14:textId="77777777" w:rsidR="00F45963" w:rsidRPr="00503196" w:rsidRDefault="00F45963" w:rsidP="00F459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Payment Dates</w:t>
            </w:r>
          </w:p>
        </w:tc>
        <w:tc>
          <w:tcPr>
            <w:tcW w:w="4659" w:type="dxa"/>
          </w:tcPr>
          <w:p w14:paraId="1D0E76BE" w14:textId="77777777" w:rsidR="00F45963" w:rsidRDefault="00F45963" w:rsidP="00F45963">
            <w:pPr>
              <w:rPr>
                <w:sz w:val="20"/>
                <w:szCs w:val="20"/>
              </w:rPr>
            </w:pPr>
          </w:p>
        </w:tc>
      </w:tr>
    </w:tbl>
    <w:p w14:paraId="217C6F7A" w14:textId="77777777" w:rsidR="00503196" w:rsidRPr="00D662D9" w:rsidRDefault="00503196" w:rsidP="00784CCB">
      <w:pPr>
        <w:rPr>
          <w:sz w:val="20"/>
          <w:szCs w:val="20"/>
        </w:rPr>
      </w:pPr>
    </w:p>
    <w:p w14:paraId="3DCD7084" w14:textId="77777777" w:rsidR="004E526B" w:rsidRDefault="004E526B" w:rsidP="00D662D9">
      <w:pPr>
        <w:rPr>
          <w:sz w:val="20"/>
          <w:szCs w:val="20"/>
        </w:rPr>
      </w:pPr>
    </w:p>
    <w:p w14:paraId="0D623F97" w14:textId="77777777" w:rsidR="00D662D9" w:rsidRPr="00D662D9" w:rsidRDefault="00132DA6" w:rsidP="00D662D9">
      <w:pPr>
        <w:rPr>
          <w:sz w:val="20"/>
          <w:szCs w:val="20"/>
        </w:rPr>
      </w:pPr>
      <w:r>
        <w:rPr>
          <w:sz w:val="20"/>
          <w:szCs w:val="20"/>
        </w:rPr>
        <w:t xml:space="preserve">Please contact NZX </w:t>
      </w:r>
      <w:r w:rsidR="00DF2CA0">
        <w:rPr>
          <w:sz w:val="20"/>
          <w:szCs w:val="20"/>
        </w:rPr>
        <w:t>Product Operations</w:t>
      </w:r>
      <w:r>
        <w:rPr>
          <w:sz w:val="20"/>
          <w:szCs w:val="20"/>
        </w:rPr>
        <w:t xml:space="preserve"> on +64 4 496 2853 or </w:t>
      </w:r>
      <w:hyperlink r:id="rId8" w:history="1">
        <w:r w:rsidR="00DF2CA0" w:rsidRPr="00FE0476">
          <w:rPr>
            <w:rStyle w:val="Hyperlink"/>
            <w:sz w:val="20"/>
            <w:szCs w:val="20"/>
          </w:rPr>
          <w:t>productoperations@nzx.com</w:t>
        </w:r>
      </w:hyperlink>
      <w:r w:rsidR="00DF2CA0">
        <w:rPr>
          <w:sz w:val="20"/>
          <w:szCs w:val="20"/>
        </w:rPr>
        <w:t xml:space="preserve"> </w:t>
      </w:r>
      <w:r>
        <w:rPr>
          <w:sz w:val="20"/>
          <w:szCs w:val="20"/>
        </w:rPr>
        <w:t>with any queries regarding completion of this form.</w:t>
      </w:r>
    </w:p>
    <w:sectPr w:rsidR="00D662D9" w:rsidRPr="00D662D9" w:rsidSect="00AF66D5">
      <w:headerReference w:type="default" r:id="rId9"/>
      <w:footerReference w:type="default" r:id="rId10"/>
      <w:headerReference w:type="first" r:id="rId11"/>
      <w:footnotePr>
        <w:numFmt w:val="chicago"/>
      </w:footnotePr>
      <w:pgSz w:w="11906" w:h="16838"/>
      <w:pgMar w:top="2552" w:right="1276" w:bottom="1304" w:left="1276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0969" w14:textId="77777777" w:rsidR="00E45550" w:rsidRDefault="00E45550" w:rsidP="00C87F3B">
      <w:pPr>
        <w:spacing w:line="240" w:lineRule="auto"/>
      </w:pPr>
      <w:r>
        <w:separator/>
      </w:r>
    </w:p>
  </w:endnote>
  <w:endnote w:type="continuationSeparator" w:id="0">
    <w:p w14:paraId="27692693" w14:textId="77777777" w:rsidR="00E45550" w:rsidRDefault="00E45550" w:rsidP="00C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6159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B7FB4E2" w14:textId="77777777" w:rsidR="002E361F" w:rsidRDefault="002E361F">
            <w:pPr>
              <w:pStyle w:val="Footer"/>
              <w:jc w:val="right"/>
            </w:pPr>
            <w:r>
              <w:t xml:space="preserve">Page </w:t>
            </w:r>
            <w:r w:rsidR="00464F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4F12">
              <w:rPr>
                <w:b/>
                <w:sz w:val="24"/>
                <w:szCs w:val="24"/>
              </w:rPr>
              <w:fldChar w:fldCharType="separate"/>
            </w:r>
            <w:r w:rsidR="00CF35D8">
              <w:rPr>
                <w:b/>
                <w:noProof/>
              </w:rPr>
              <w:t>2</w:t>
            </w:r>
            <w:r w:rsidR="00464F1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4F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4F12">
              <w:rPr>
                <w:b/>
                <w:sz w:val="24"/>
                <w:szCs w:val="24"/>
              </w:rPr>
              <w:fldChar w:fldCharType="separate"/>
            </w:r>
            <w:r w:rsidR="00493E21">
              <w:rPr>
                <w:b/>
                <w:noProof/>
              </w:rPr>
              <w:t>1</w:t>
            </w:r>
            <w:r w:rsidR="00464F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4B2EF8" w14:textId="77777777" w:rsidR="002E361F" w:rsidRDefault="002E3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8DF7" w14:textId="77777777" w:rsidR="00E45550" w:rsidRDefault="00E45550" w:rsidP="00C87F3B">
      <w:pPr>
        <w:spacing w:line="240" w:lineRule="auto"/>
      </w:pPr>
    </w:p>
  </w:footnote>
  <w:footnote w:type="continuationSeparator" w:id="0">
    <w:p w14:paraId="2ABA92A7" w14:textId="77777777" w:rsidR="00E45550" w:rsidRDefault="00E45550" w:rsidP="00C87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C2D9" w14:textId="77777777" w:rsidR="000E5D9C" w:rsidRDefault="0021598B" w:rsidP="002C1C7E">
    <w:pPr>
      <w:spacing w:after="1400"/>
    </w:pPr>
    <w:r>
      <w:rPr>
        <w:noProof/>
        <w:lang w:eastAsia="en-NZ"/>
      </w:rPr>
      <w:drawing>
        <wp:inline distT="0" distB="0" distL="0" distR="0" wp14:anchorId="744331C8" wp14:editId="50D9B72C">
          <wp:extent cx="1304925" cy="528129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ZX_STRAPLINE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147" cy="5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5A46" w14:textId="45359354" w:rsidR="000E5D9C" w:rsidRPr="00C87F3B" w:rsidRDefault="00F45963" w:rsidP="00AA6C9C">
    <w:pPr>
      <w:pStyle w:val="BodyCopy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61D76E" wp14:editId="0A7649E7">
          <wp:simplePos x="0" y="0"/>
          <wp:positionH relativeFrom="margin">
            <wp:posOffset>-335280</wp:posOffset>
          </wp:positionH>
          <wp:positionV relativeFrom="paragraph">
            <wp:posOffset>-266700</wp:posOffset>
          </wp:positionV>
          <wp:extent cx="2089150" cy="1120140"/>
          <wp:effectExtent l="0" t="0" r="0" b="0"/>
          <wp:wrapSquare wrapText="bothSides"/>
          <wp:docPr id="657496823" name="Picture 65749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x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50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94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722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48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621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CA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12E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C87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B8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AAF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FE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B09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8775A"/>
    <w:multiLevelType w:val="hybridMultilevel"/>
    <w:tmpl w:val="80E8B4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3A6F7F"/>
    <w:multiLevelType w:val="hybridMultilevel"/>
    <w:tmpl w:val="3B3843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21304"/>
    <w:multiLevelType w:val="hybridMultilevel"/>
    <w:tmpl w:val="BFD876B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964980">
    <w:abstractNumId w:val="20"/>
  </w:num>
  <w:num w:numId="2" w16cid:durableId="491675031">
    <w:abstractNumId w:val="17"/>
  </w:num>
  <w:num w:numId="3" w16cid:durableId="1890991699">
    <w:abstractNumId w:val="14"/>
  </w:num>
  <w:num w:numId="4" w16cid:durableId="721295480">
    <w:abstractNumId w:val="15"/>
  </w:num>
  <w:num w:numId="5" w16cid:durableId="150950443">
    <w:abstractNumId w:val="16"/>
  </w:num>
  <w:num w:numId="6" w16cid:durableId="161284676">
    <w:abstractNumId w:val="16"/>
  </w:num>
  <w:num w:numId="7" w16cid:durableId="753285941">
    <w:abstractNumId w:val="16"/>
  </w:num>
  <w:num w:numId="8" w16cid:durableId="1713964021">
    <w:abstractNumId w:val="20"/>
  </w:num>
  <w:num w:numId="9" w16cid:durableId="1390959046">
    <w:abstractNumId w:val="17"/>
  </w:num>
  <w:num w:numId="10" w16cid:durableId="2045131148">
    <w:abstractNumId w:val="14"/>
  </w:num>
  <w:num w:numId="11" w16cid:durableId="1614510818">
    <w:abstractNumId w:val="15"/>
  </w:num>
  <w:num w:numId="12" w16cid:durableId="1311978241">
    <w:abstractNumId w:val="16"/>
  </w:num>
  <w:num w:numId="13" w16cid:durableId="927806505">
    <w:abstractNumId w:val="16"/>
  </w:num>
  <w:num w:numId="14" w16cid:durableId="777528638">
    <w:abstractNumId w:val="16"/>
  </w:num>
  <w:num w:numId="15" w16cid:durableId="1110705211">
    <w:abstractNumId w:val="12"/>
  </w:num>
  <w:num w:numId="16" w16cid:durableId="518933119">
    <w:abstractNumId w:val="13"/>
  </w:num>
  <w:num w:numId="17" w16cid:durableId="459609641">
    <w:abstractNumId w:val="19"/>
  </w:num>
  <w:num w:numId="18" w16cid:durableId="1464536788">
    <w:abstractNumId w:val="10"/>
  </w:num>
  <w:num w:numId="19" w16cid:durableId="1718622676">
    <w:abstractNumId w:val="8"/>
  </w:num>
  <w:num w:numId="20" w16cid:durableId="1594902051">
    <w:abstractNumId w:val="7"/>
  </w:num>
  <w:num w:numId="21" w16cid:durableId="743378353">
    <w:abstractNumId w:val="6"/>
  </w:num>
  <w:num w:numId="22" w16cid:durableId="660499965">
    <w:abstractNumId w:val="5"/>
  </w:num>
  <w:num w:numId="23" w16cid:durableId="77288118">
    <w:abstractNumId w:val="9"/>
  </w:num>
  <w:num w:numId="24" w16cid:durableId="1548492511">
    <w:abstractNumId w:val="4"/>
  </w:num>
  <w:num w:numId="25" w16cid:durableId="419446527">
    <w:abstractNumId w:val="3"/>
  </w:num>
  <w:num w:numId="26" w16cid:durableId="1799371332">
    <w:abstractNumId w:val="2"/>
  </w:num>
  <w:num w:numId="27" w16cid:durableId="900478191">
    <w:abstractNumId w:val="1"/>
  </w:num>
  <w:num w:numId="28" w16cid:durableId="791898267">
    <w:abstractNumId w:val="0"/>
  </w:num>
  <w:num w:numId="29" w16cid:durableId="712114588">
    <w:abstractNumId w:val="21"/>
  </w:num>
  <w:num w:numId="30" w16cid:durableId="365716408">
    <w:abstractNumId w:val="18"/>
  </w:num>
  <w:num w:numId="31" w16cid:durableId="556744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0"/>
    <w:rsid w:val="000344EE"/>
    <w:rsid w:val="00062E15"/>
    <w:rsid w:val="00064FCD"/>
    <w:rsid w:val="00075AD6"/>
    <w:rsid w:val="000842D6"/>
    <w:rsid w:val="000D6FFB"/>
    <w:rsid w:val="000E5D9C"/>
    <w:rsid w:val="000F6A92"/>
    <w:rsid w:val="00132DA6"/>
    <w:rsid w:val="00160D37"/>
    <w:rsid w:val="00172E9A"/>
    <w:rsid w:val="001A51E3"/>
    <w:rsid w:val="001E6430"/>
    <w:rsid w:val="0021592E"/>
    <w:rsid w:val="0021598B"/>
    <w:rsid w:val="00222D32"/>
    <w:rsid w:val="002C1C7E"/>
    <w:rsid w:val="002E361F"/>
    <w:rsid w:val="002F041A"/>
    <w:rsid w:val="00357DBD"/>
    <w:rsid w:val="003646EC"/>
    <w:rsid w:val="003716FF"/>
    <w:rsid w:val="003B2EEC"/>
    <w:rsid w:val="0040789A"/>
    <w:rsid w:val="00444FDA"/>
    <w:rsid w:val="004534AA"/>
    <w:rsid w:val="00463E02"/>
    <w:rsid w:val="00464F12"/>
    <w:rsid w:val="00485A9D"/>
    <w:rsid w:val="00490610"/>
    <w:rsid w:val="00493E21"/>
    <w:rsid w:val="004C5232"/>
    <w:rsid w:val="004E526B"/>
    <w:rsid w:val="00503196"/>
    <w:rsid w:val="005B5B1F"/>
    <w:rsid w:val="005D31D4"/>
    <w:rsid w:val="0060741B"/>
    <w:rsid w:val="0061150C"/>
    <w:rsid w:val="006210A5"/>
    <w:rsid w:val="00653D1F"/>
    <w:rsid w:val="006C32F3"/>
    <w:rsid w:val="006C5791"/>
    <w:rsid w:val="006D7E73"/>
    <w:rsid w:val="007056EE"/>
    <w:rsid w:val="007142C3"/>
    <w:rsid w:val="007255E9"/>
    <w:rsid w:val="007337B0"/>
    <w:rsid w:val="00747EDF"/>
    <w:rsid w:val="00772795"/>
    <w:rsid w:val="00772DD8"/>
    <w:rsid w:val="00784CCB"/>
    <w:rsid w:val="007C2153"/>
    <w:rsid w:val="007C33F5"/>
    <w:rsid w:val="007E190C"/>
    <w:rsid w:val="007F4AA2"/>
    <w:rsid w:val="008021BE"/>
    <w:rsid w:val="00820270"/>
    <w:rsid w:val="008D2994"/>
    <w:rsid w:val="008F7216"/>
    <w:rsid w:val="009279F8"/>
    <w:rsid w:val="00930203"/>
    <w:rsid w:val="00960408"/>
    <w:rsid w:val="009605E7"/>
    <w:rsid w:val="00965288"/>
    <w:rsid w:val="009B095F"/>
    <w:rsid w:val="009E4539"/>
    <w:rsid w:val="009F23FC"/>
    <w:rsid w:val="00A02579"/>
    <w:rsid w:val="00A13C22"/>
    <w:rsid w:val="00A33A79"/>
    <w:rsid w:val="00A45FD6"/>
    <w:rsid w:val="00A71C77"/>
    <w:rsid w:val="00A93DC5"/>
    <w:rsid w:val="00AA2A27"/>
    <w:rsid w:val="00AA6C9C"/>
    <w:rsid w:val="00AF66D5"/>
    <w:rsid w:val="00B43A13"/>
    <w:rsid w:val="00B446C5"/>
    <w:rsid w:val="00B6225F"/>
    <w:rsid w:val="00B965F6"/>
    <w:rsid w:val="00BC5D1A"/>
    <w:rsid w:val="00BC67AB"/>
    <w:rsid w:val="00BF3FC7"/>
    <w:rsid w:val="00C27940"/>
    <w:rsid w:val="00C41AFF"/>
    <w:rsid w:val="00C478BA"/>
    <w:rsid w:val="00C62A5C"/>
    <w:rsid w:val="00C87F3B"/>
    <w:rsid w:val="00CA4E3B"/>
    <w:rsid w:val="00CB3D7E"/>
    <w:rsid w:val="00CF1B8C"/>
    <w:rsid w:val="00CF35D8"/>
    <w:rsid w:val="00D01CE0"/>
    <w:rsid w:val="00D21FE0"/>
    <w:rsid w:val="00D260C3"/>
    <w:rsid w:val="00D6311C"/>
    <w:rsid w:val="00D662D9"/>
    <w:rsid w:val="00DA30A1"/>
    <w:rsid w:val="00DC2980"/>
    <w:rsid w:val="00DC33B4"/>
    <w:rsid w:val="00DF2CA0"/>
    <w:rsid w:val="00DF569D"/>
    <w:rsid w:val="00E03E14"/>
    <w:rsid w:val="00E1715E"/>
    <w:rsid w:val="00E2580D"/>
    <w:rsid w:val="00E26355"/>
    <w:rsid w:val="00E274B1"/>
    <w:rsid w:val="00E45550"/>
    <w:rsid w:val="00E4592A"/>
    <w:rsid w:val="00EA0F9C"/>
    <w:rsid w:val="00EA1DD6"/>
    <w:rsid w:val="00EB3F5A"/>
    <w:rsid w:val="00EE2D5D"/>
    <w:rsid w:val="00EF2BCE"/>
    <w:rsid w:val="00F1230C"/>
    <w:rsid w:val="00F22E06"/>
    <w:rsid w:val="00F32C28"/>
    <w:rsid w:val="00F34C78"/>
    <w:rsid w:val="00F45963"/>
    <w:rsid w:val="00F62034"/>
    <w:rsid w:val="00F73853"/>
    <w:rsid w:val="00F73AFD"/>
    <w:rsid w:val="00F77809"/>
    <w:rsid w:val="00F916E3"/>
    <w:rsid w:val="00F933DF"/>
    <w:rsid w:val="00FA064D"/>
    <w:rsid w:val="00FB7D96"/>
    <w:rsid w:val="00FD5775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FBA47D"/>
  <w15:docId w15:val="{49CBBE8C-892F-49F7-A54C-94445FAA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02579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6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17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BC5D1A"/>
    <w:pPr>
      <w:spacing w:line="288" w:lineRule="auto"/>
      <w:contextualSpacing/>
    </w:pPr>
    <w:rPr>
      <w:rFonts w:eastAsiaTheme="majorEastAsia" w:cstheme="majorBidi"/>
      <w:b/>
      <w:color w:val="0061A2" w:themeColor="accen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BC5D1A"/>
    <w:rPr>
      <w:rFonts w:ascii="Arial" w:eastAsiaTheme="majorEastAsia" w:hAnsi="Arial" w:cstheme="majorBidi"/>
      <w:b/>
      <w:color w:val="0061A2" w:themeColor="accent1"/>
      <w:spacing w:val="5"/>
      <w:kern w:val="28"/>
      <w:sz w:val="36"/>
      <w:szCs w:val="52"/>
    </w:rPr>
  </w:style>
  <w:style w:type="character" w:styleId="Hyperlink">
    <w:name w:val="Hyperlink"/>
    <w:basedOn w:val="DefaultParagraphFont"/>
    <w:uiPriority w:val="99"/>
    <w:unhideWhenUsed/>
    <w:rsid w:val="00DA30A1"/>
    <w:rPr>
      <w:color w:val="808080" w:themeColor="hyperlink"/>
      <w:u w:val="single"/>
    </w:rPr>
  </w:style>
  <w:style w:type="paragraph" w:styleId="Revision">
    <w:name w:val="Revision"/>
    <w:hidden/>
    <w:uiPriority w:val="99"/>
    <w:semiHidden/>
    <w:rsid w:val="006210A5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operations@nz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2CE35-9B68-412E-8272-E73881A5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1101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Dungey</dc:creator>
  <cp:lastModifiedBy>Farhan Nazmi</cp:lastModifiedBy>
  <cp:revision>3</cp:revision>
  <cp:lastPrinted>2019-10-29T01:27:00Z</cp:lastPrinted>
  <dcterms:created xsi:type="dcterms:W3CDTF">2026-05-11T03:56:00Z</dcterms:created>
  <dcterms:modified xsi:type="dcterms:W3CDTF">2026-05-11T04:05:00Z</dcterms:modified>
</cp:coreProperties>
</file>